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485" w:rsidRPr="00CD5596" w:rsidRDefault="00F64485" w:rsidP="006E478E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bookmarkStart w:id="0" w:name="_GoBack"/>
    </w:p>
    <w:p w:rsidR="00C0019F" w:rsidRPr="00CD5596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CD5596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CD5596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CD5596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CD5596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CD5596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CD5596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CD5596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CD5596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CD5596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CD5596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CD5596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CD5596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37765C">
        <w:rPr>
          <w:rFonts w:ascii="Arial" w:hAnsi="Arial" w:cs="Arial"/>
          <w:color w:val="4BACC6" w:themeColor="accent5"/>
          <w:sz w:val="24"/>
          <w:szCs w:val="24"/>
        </w:rPr>
        <w:t>trece</w:t>
      </w:r>
      <w:r w:rsidR="002D371A" w:rsidRPr="00CD5596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7A68AD" w:rsidRPr="00CD5596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37765C">
        <w:rPr>
          <w:rFonts w:ascii="Arial" w:hAnsi="Arial" w:cs="Arial"/>
          <w:color w:val="4BACC6" w:themeColor="accent5"/>
          <w:sz w:val="24"/>
          <w:szCs w:val="24"/>
        </w:rPr>
        <w:t>diciembre</w:t>
      </w:r>
      <w:r w:rsidR="00E94C22" w:rsidRPr="00CD5596">
        <w:rPr>
          <w:rFonts w:ascii="Arial" w:hAnsi="Arial" w:cs="Arial"/>
          <w:color w:val="4BACC6" w:themeColor="accent5"/>
          <w:sz w:val="24"/>
          <w:szCs w:val="24"/>
        </w:rPr>
        <w:t xml:space="preserve"> d</w:t>
      </w:r>
      <w:r w:rsidR="00B4587C" w:rsidRPr="00CD5596">
        <w:rPr>
          <w:rFonts w:ascii="Arial" w:hAnsi="Arial" w:cs="Arial"/>
          <w:color w:val="4BACC6" w:themeColor="accent5"/>
          <w:sz w:val="24"/>
          <w:szCs w:val="24"/>
        </w:rPr>
        <w:t>e dos mil diecisiete</w:t>
      </w:r>
      <w:r w:rsidR="00A04BCB" w:rsidRPr="00CD5596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CD5596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AC1F24" w:rsidRPr="00CD5596" w:rsidRDefault="00AC1F24" w:rsidP="00FF56CF">
      <w:pPr>
        <w:tabs>
          <w:tab w:val="left" w:pos="6840"/>
        </w:tabs>
        <w:spacing w:after="0" w:line="360" w:lineRule="auto"/>
        <w:ind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B70237" w:rsidRPr="00CD5596" w:rsidRDefault="00B70237" w:rsidP="00256F5C">
      <w:pPr>
        <w:spacing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CD5596">
        <w:rPr>
          <w:rFonts w:ascii="Arial" w:eastAsia="Batang" w:hAnsi="Arial" w:cs="Arial"/>
          <w:color w:val="4BACC6" w:themeColor="accent5"/>
          <w:sz w:val="24"/>
          <w:szCs w:val="24"/>
        </w:rPr>
        <w:t xml:space="preserve">Visto el estado que guardan los presentes autos, y de una revisión a las constancias que integran el expediente, y dado que </w:t>
      </w:r>
      <w:r w:rsidRPr="00CD5596">
        <w:rPr>
          <w:rFonts w:ascii="Arial" w:hAnsi="Arial" w:cs="Arial"/>
          <w:color w:val="4BACC6" w:themeColor="accent5"/>
          <w:sz w:val="24"/>
          <w:szCs w:val="24"/>
        </w:rPr>
        <w:t>esta Comisión como órgano de autoridad en el derecho de acceso a la información pública en el Estado, que tiene por objeto fundamental vigilar el cumplimiento a la Ley de Transparencia y Acceso a la Información Pública, así como de las resoluciones dictadas por esta Comisión, de conformidad con lo previsto en  los artículos 8°, 10°, 27° primer párrafo, 184 y 185 de la Ley de Transparencia y Acceso a la Información Pública del Estado, procede al análisis de cumplimiento del sujeto obligado.</w:t>
      </w:r>
    </w:p>
    <w:p w:rsidR="00256F5C" w:rsidRDefault="00256F5C" w:rsidP="00256F5C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B70237" w:rsidRDefault="006939D8" w:rsidP="00256F5C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>Ahora bien, el sujeto obligado en su informe, señala que realizó las gestiones necesarias para atender la resolución que nos ocupa, y por ello el Secretario General del Ayuntamiento emitió una respuesta. La referida respuesta se encuentra en el oficio MMA/SGA-01184/2017, cuyo contenido medularmente es como se transcribe:</w:t>
      </w:r>
    </w:p>
    <w:p w:rsidR="006939D8" w:rsidRDefault="006939D8" w:rsidP="006939D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6939D8" w:rsidRPr="006B20C1" w:rsidRDefault="006939D8" w:rsidP="006B20C1">
      <w:pPr>
        <w:pStyle w:val="corte4fondo"/>
        <w:tabs>
          <w:tab w:val="left" w:pos="567"/>
        </w:tabs>
        <w:spacing w:line="240" w:lineRule="auto"/>
        <w:rPr>
          <w:rFonts w:cs="Arial"/>
          <w:color w:val="4BACC6" w:themeColor="accent5"/>
          <w:sz w:val="22"/>
          <w:szCs w:val="22"/>
        </w:rPr>
      </w:pPr>
      <w:r w:rsidRPr="006B20C1">
        <w:rPr>
          <w:rFonts w:cs="Arial"/>
          <w:color w:val="4BACC6" w:themeColor="accent5"/>
          <w:sz w:val="22"/>
          <w:szCs w:val="22"/>
        </w:rPr>
        <w:t>…Me permito anexarle copia simpe del oficio MMA/SGA-964/2017, donde se refiere el antecedente localizado en ésta Secretaria, sobre lo solicitado.</w:t>
      </w:r>
    </w:p>
    <w:p w:rsidR="006939D8" w:rsidRPr="006B20C1" w:rsidRDefault="006B20C1" w:rsidP="006B20C1">
      <w:pPr>
        <w:pStyle w:val="corte4fondo"/>
        <w:tabs>
          <w:tab w:val="left" w:pos="567"/>
        </w:tabs>
        <w:spacing w:line="240" w:lineRule="auto"/>
        <w:rPr>
          <w:rFonts w:cs="Arial"/>
          <w:color w:val="4BACC6" w:themeColor="accent5"/>
          <w:sz w:val="22"/>
          <w:szCs w:val="22"/>
        </w:rPr>
      </w:pPr>
      <w:r w:rsidRPr="006B20C1">
        <w:rPr>
          <w:rFonts w:cs="Arial"/>
          <w:color w:val="4BACC6" w:themeColor="accent5"/>
          <w:sz w:val="22"/>
          <w:szCs w:val="22"/>
        </w:rPr>
        <w:t>Además,</w:t>
      </w:r>
      <w:r w:rsidR="006939D8" w:rsidRPr="006B20C1">
        <w:rPr>
          <w:rFonts w:cs="Arial"/>
          <w:color w:val="4BACC6" w:themeColor="accent5"/>
          <w:sz w:val="22"/>
          <w:szCs w:val="22"/>
        </w:rPr>
        <w:t xml:space="preserve"> me permito hacer mención que actualmente se encuentra vigente la Licencia de Construcción de dicha gasolinera, toda vez que fue expedida por el A</w:t>
      </w:r>
      <w:r w:rsidRPr="006B20C1">
        <w:rPr>
          <w:rFonts w:cs="Arial"/>
          <w:color w:val="4BACC6" w:themeColor="accent5"/>
          <w:sz w:val="22"/>
          <w:szCs w:val="22"/>
        </w:rPr>
        <w:t>rq. Juan Francisco Medrano Zapata, Director de Obras Públicas del Ayuntamiento…</w:t>
      </w:r>
    </w:p>
    <w:p w:rsidR="006939D8" w:rsidRDefault="006939D8" w:rsidP="006939D8">
      <w:pPr>
        <w:pStyle w:val="corte4fondo"/>
        <w:tabs>
          <w:tab w:val="left" w:pos="567"/>
        </w:tabs>
        <w:ind w:left="680" w:firstLine="0"/>
        <w:rPr>
          <w:rFonts w:cs="Arial"/>
          <w:color w:val="4BACC6" w:themeColor="accent5"/>
          <w:sz w:val="24"/>
          <w:szCs w:val="24"/>
        </w:rPr>
      </w:pPr>
    </w:p>
    <w:p w:rsidR="006939D8" w:rsidRPr="006939D8" w:rsidRDefault="006939D8" w:rsidP="006B20C1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color w:val="4BACC6" w:themeColor="accent5"/>
          <w:sz w:val="24"/>
          <w:szCs w:val="24"/>
        </w:rPr>
      </w:pPr>
    </w:p>
    <w:p w:rsidR="006B20C1" w:rsidRDefault="006B20C1" w:rsidP="003E7E29">
      <w:pPr>
        <w:spacing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t>De lo anterior, se advierte que el sujeto obligado emite una nueva respuesta, que únicamente reitera su respuesta inicial, circunstancia que sin lugar a dudas es incorrecta e inoperante para satisfacer los extremos de la resolución, toda vez que:</w:t>
      </w:r>
    </w:p>
    <w:p w:rsidR="00256F5C" w:rsidRDefault="00256F5C" w:rsidP="003E7E29">
      <w:pPr>
        <w:spacing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B20C1" w:rsidRDefault="006B20C1" w:rsidP="003E7E29">
      <w:pPr>
        <w:spacing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t>1.- La respuesta que es reiterada ya fue estudiada y superada por la resolución</w:t>
      </w:r>
      <w:r w:rsidR="00615324">
        <w:rPr>
          <w:rFonts w:ascii="Arial" w:hAnsi="Arial" w:cs="Arial"/>
          <w:color w:val="4BACC6" w:themeColor="accent5"/>
          <w:sz w:val="24"/>
          <w:szCs w:val="24"/>
        </w:rPr>
        <w:t xml:space="preserve"> de marras</w:t>
      </w:r>
    </w:p>
    <w:p w:rsidR="00615324" w:rsidRDefault="00615324" w:rsidP="003E7E29">
      <w:pPr>
        <w:spacing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t>2.- En la resolución se precisó que el sujeto obligado deberá dar contestación con un documento, en el que conste la información solicitada.</w:t>
      </w:r>
    </w:p>
    <w:p w:rsidR="00CD5596" w:rsidRDefault="00615324" w:rsidP="00615324">
      <w:pPr>
        <w:spacing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lastRenderedPageBreak/>
        <w:t>3.- De la respuesta inicial del sujeto obligado y que reitera posteriormente, se advierte que el sujeto obligado señala varios documentos y que a ellos se refiere como antecedente, por ello si el sujeto obligado identifico los documentos con los que cuenta y que son relativos al asunto que nos ocupa, entonces no hay óbice para entregarlos.</w:t>
      </w:r>
    </w:p>
    <w:p w:rsidR="00256F5C" w:rsidRPr="00CD5596" w:rsidRDefault="00256F5C" w:rsidP="00615324">
      <w:pPr>
        <w:spacing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56F5C" w:rsidRDefault="00292D27" w:rsidP="003E7E29">
      <w:pPr>
        <w:spacing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CD5596">
        <w:rPr>
          <w:rFonts w:ascii="Arial" w:hAnsi="Arial" w:cs="Arial"/>
          <w:color w:val="4BACC6" w:themeColor="accent5"/>
          <w:sz w:val="24"/>
          <w:szCs w:val="24"/>
        </w:rPr>
        <w:t>En suma, el sujeto obligado no</w:t>
      </w:r>
      <w:r w:rsidR="00615324">
        <w:rPr>
          <w:rFonts w:ascii="Arial" w:hAnsi="Arial" w:cs="Arial"/>
          <w:color w:val="4BACC6" w:themeColor="accent5"/>
          <w:sz w:val="24"/>
          <w:szCs w:val="24"/>
        </w:rPr>
        <w:t xml:space="preserve"> ha entregado al recurrente expresión documental que dé cuenta de la in</w:t>
      </w:r>
      <w:r w:rsidR="00E34E8F">
        <w:rPr>
          <w:rFonts w:ascii="Arial" w:hAnsi="Arial" w:cs="Arial"/>
          <w:color w:val="4BACC6" w:themeColor="accent5"/>
          <w:sz w:val="24"/>
          <w:szCs w:val="24"/>
        </w:rPr>
        <w:t>formación que solicito el hoy recurrente</w:t>
      </w:r>
    </w:p>
    <w:p w:rsidR="00615324" w:rsidRDefault="00E34E8F" w:rsidP="003E7E29">
      <w:pPr>
        <w:spacing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870B62" w:rsidRPr="00CD5596" w:rsidRDefault="00870B62" w:rsidP="00CD5596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CD5596">
        <w:rPr>
          <w:rFonts w:ascii="Arial" w:hAnsi="Arial" w:cs="Arial"/>
          <w:color w:val="4BACC6" w:themeColor="accent5"/>
          <w:sz w:val="24"/>
          <w:szCs w:val="24"/>
        </w:rPr>
        <w:t xml:space="preserve">Por lo anterior, con fundamento en los artículos 27° primer párrafo, 184° segundo párrafo y 185 fracción I de la Ley de Transparencia y Acceso a la Información Pública del Estado, se tiene que 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>la resolución dictada en el presente recurso de revisión se encuentra incumplida</w:t>
      </w:r>
      <w:r w:rsidRPr="00CD5596">
        <w:rPr>
          <w:rFonts w:ascii="Arial" w:hAnsi="Arial" w:cs="Arial"/>
          <w:color w:val="4BACC6" w:themeColor="accent5"/>
          <w:sz w:val="24"/>
          <w:szCs w:val="24"/>
        </w:rPr>
        <w:t xml:space="preserve"> y conmina al sujeto obligado a que dé cumplimiento en los precisos términos asentados en la misma.</w:t>
      </w:r>
    </w:p>
    <w:p w:rsidR="00256F5C" w:rsidRDefault="00256F5C" w:rsidP="00256F5C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56F5C" w:rsidRDefault="00256F5C" w:rsidP="00256F5C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70B62" w:rsidRDefault="00870B62" w:rsidP="00256F5C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CD5596">
        <w:rPr>
          <w:rFonts w:ascii="Arial" w:hAnsi="Arial" w:cs="Arial"/>
          <w:color w:val="4BACC6" w:themeColor="accent5"/>
          <w:sz w:val="24"/>
          <w:szCs w:val="24"/>
        </w:rPr>
        <w:t>Por último, al tenor de lo establecido en el artículo 185 fracción II; con fundamento en el artículo 58 de la Ley de Transparencia que señala:</w:t>
      </w:r>
    </w:p>
    <w:p w:rsidR="00256F5C" w:rsidRPr="00CD5596" w:rsidRDefault="00256F5C" w:rsidP="00256F5C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70B62" w:rsidRPr="00CD5596" w:rsidRDefault="00870B62" w:rsidP="00870B62">
      <w:pPr>
        <w:spacing w:after="0" w:line="360" w:lineRule="auto"/>
        <w:ind w:firstLine="680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70B62" w:rsidRPr="00CD5596" w:rsidRDefault="00870B62" w:rsidP="00CD5596">
      <w:pPr>
        <w:spacing w:after="0" w:line="240" w:lineRule="auto"/>
        <w:ind w:left="709" w:firstLine="680"/>
        <w:jc w:val="both"/>
        <w:rPr>
          <w:rFonts w:ascii="Arial" w:hAnsi="Arial" w:cs="Arial"/>
          <w:color w:val="4BACC6" w:themeColor="accent5"/>
          <w:sz w:val="20"/>
          <w:szCs w:val="20"/>
        </w:rPr>
      </w:pPr>
      <w:r w:rsidRPr="00CD5596">
        <w:rPr>
          <w:rFonts w:ascii="Arial" w:hAnsi="Arial" w:cs="Arial"/>
          <w:color w:val="4BACC6" w:themeColor="accent5"/>
          <w:sz w:val="20"/>
          <w:szCs w:val="20"/>
        </w:rPr>
        <w:t>“</w:t>
      </w:r>
      <w:r w:rsidRPr="00CD5596">
        <w:rPr>
          <w:rFonts w:ascii="Arial" w:hAnsi="Arial" w:cs="Arial"/>
          <w:b/>
          <w:color w:val="4BACC6" w:themeColor="accent5"/>
          <w:sz w:val="20"/>
          <w:szCs w:val="20"/>
        </w:rPr>
        <w:t xml:space="preserve">ARTÍCULO 58. </w:t>
      </w:r>
      <w:r w:rsidRPr="00CD5596">
        <w:rPr>
          <w:rFonts w:ascii="Arial" w:hAnsi="Arial" w:cs="Arial"/>
          <w:color w:val="4BACC6" w:themeColor="accent5"/>
          <w:sz w:val="20"/>
          <w:szCs w:val="20"/>
        </w:rPr>
        <w:t>Las unidades de transparencia acatarán las resoluciones, disposiciones administrativas y requerimientos de informes que establezca el Comité de Transparencia, o la CEGAIP”</w:t>
      </w:r>
    </w:p>
    <w:p w:rsidR="00256F5C" w:rsidRDefault="00256F5C" w:rsidP="00256F5C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56F5C" w:rsidRDefault="00256F5C" w:rsidP="00256F5C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70B62" w:rsidRPr="00CD5596" w:rsidRDefault="00870B62" w:rsidP="00256F5C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CD5596">
        <w:rPr>
          <w:rFonts w:ascii="Arial" w:hAnsi="Arial" w:cs="Arial"/>
          <w:color w:val="4BACC6" w:themeColor="accent5"/>
          <w:sz w:val="24"/>
          <w:szCs w:val="24"/>
        </w:rPr>
        <w:t xml:space="preserve">Se requiere al 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>P</w:t>
      </w:r>
      <w:r w:rsidR="00E34E8F">
        <w:rPr>
          <w:rFonts w:ascii="Arial" w:hAnsi="Arial" w:cs="Arial"/>
          <w:b/>
          <w:color w:val="4BACC6" w:themeColor="accent5"/>
          <w:sz w:val="24"/>
          <w:szCs w:val="24"/>
        </w:rPr>
        <w:t>residente Municipal de Matehuala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 xml:space="preserve">, San Luis Potosí, </w:t>
      </w:r>
      <w:r w:rsidRPr="00CD5596">
        <w:rPr>
          <w:rFonts w:ascii="Arial" w:hAnsi="Arial" w:cs="Arial"/>
          <w:color w:val="4BACC6" w:themeColor="accent5"/>
          <w:sz w:val="24"/>
          <w:szCs w:val="24"/>
        </w:rPr>
        <w:t xml:space="preserve">en virtud de ser el superior jerárquico del Titular de la Unidad de Transparencia, 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 xml:space="preserve">a efecto de que en el término de 05 cinco días hábiles, </w:t>
      </w:r>
      <w:r w:rsidRPr="00CD5596">
        <w:rPr>
          <w:rFonts w:ascii="Arial" w:hAnsi="Arial" w:cs="Arial"/>
          <w:color w:val="4BACC6" w:themeColor="accent5"/>
          <w:sz w:val="24"/>
          <w:szCs w:val="24"/>
        </w:rPr>
        <w:t xml:space="preserve">los cuales de conformidad con lo establecido por el artículo 148 de la Ley de la materia, las notificaciones empezaran a transcurrir al día siguiente al que se practiquen, 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>giré las instrucciones necesarias para que se otorgue el debido cumplimiento a la resolución dictada en el presente expediente</w:t>
      </w:r>
      <w:r w:rsidRPr="00CD5596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 xml:space="preserve">por lo que deberá apegarse a lo establecido en los artículos 160 y 161 de la Ley de Transparencia, </w:t>
      </w:r>
      <w:r w:rsidRPr="00CD5596">
        <w:rPr>
          <w:rFonts w:ascii="Arial" w:hAnsi="Arial" w:cs="Arial"/>
          <w:color w:val="4BACC6" w:themeColor="accent5"/>
          <w:sz w:val="24"/>
          <w:szCs w:val="24"/>
        </w:rPr>
        <w:t xml:space="preserve"> debiendo remitir las constancias necesarias que acrediten el cabal cumplimiento a lo ordenado en la resolución dictada por este Órgano Colegiado, 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 xml:space="preserve">apercibido 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lastRenderedPageBreak/>
        <w:t>legalmente que en caso de no cumplir con las determinaciones de esta Comisión, como se encuentra señalado en el resolutivo y al cuerpo del presente proveído, se procederá en términos de lo establecido en los artículos 190 en relación al artículo 197 fracción XV de la Ley de Transparencia y Acceso a la Información Pública del Estado</w:t>
      </w:r>
      <w:r w:rsidR="00CD5596" w:rsidRPr="00CD5596">
        <w:rPr>
          <w:rFonts w:ascii="Arial" w:hAnsi="Arial" w:cs="Arial"/>
          <w:b/>
          <w:color w:val="4BACC6" w:themeColor="accent5"/>
          <w:sz w:val="24"/>
          <w:szCs w:val="24"/>
        </w:rPr>
        <w:t>, y se impondrá la medida de apremio que corresponda para asegurar el cumplimiento de la resolución que nos ocupa</w:t>
      </w:r>
      <w:r w:rsidR="00CD5596">
        <w:rPr>
          <w:rFonts w:ascii="Arial" w:hAnsi="Arial" w:cs="Arial"/>
          <w:b/>
          <w:color w:val="4BACC6" w:themeColor="accent5"/>
          <w:sz w:val="24"/>
          <w:szCs w:val="24"/>
        </w:rPr>
        <w:t xml:space="preserve"> y los sucesivos requerimientos.</w:t>
      </w:r>
      <w:r w:rsidRPr="00CD5596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personalmente.</w:t>
      </w:r>
    </w:p>
    <w:p w:rsidR="00256F5C" w:rsidRDefault="00256F5C" w:rsidP="00256F5C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56F5C" w:rsidRDefault="00256F5C" w:rsidP="00256F5C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70B62" w:rsidRPr="00CD5596" w:rsidRDefault="00870B62" w:rsidP="00256F5C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CD5596">
        <w:rPr>
          <w:rFonts w:ascii="Arial" w:hAnsi="Arial" w:cs="Arial"/>
          <w:color w:val="4BACC6" w:themeColor="accent5"/>
          <w:sz w:val="24"/>
          <w:szCs w:val="24"/>
        </w:rPr>
        <w:t>Así lo proveyó y firma el Comisionado Presidente de la Comisión Estatal de Garantía de Acceso a la Información Pública Alejandro Lafuente Torres, que actúa con Rosa María Motilla García, Secretaria de Pleno que da fe.</w:t>
      </w:r>
    </w:p>
    <w:p w:rsidR="00870B62" w:rsidRPr="00CD5596" w:rsidRDefault="00870B62" w:rsidP="00870B62">
      <w:pPr>
        <w:spacing w:after="0" w:line="360" w:lineRule="auto"/>
        <w:ind w:firstLine="680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870B62" w:rsidRDefault="00870B62" w:rsidP="00870B62">
      <w:pPr>
        <w:spacing w:after="0" w:line="360" w:lineRule="auto"/>
        <w:ind w:firstLine="680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56F5C" w:rsidRPr="00CD5596" w:rsidRDefault="00256F5C" w:rsidP="00870B62">
      <w:pPr>
        <w:spacing w:after="0" w:line="360" w:lineRule="auto"/>
        <w:ind w:firstLine="680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870B62" w:rsidRPr="00CD5596" w:rsidRDefault="00870B62" w:rsidP="00870B62">
      <w:pPr>
        <w:spacing w:after="0" w:line="240" w:lineRule="auto"/>
        <w:ind w:firstLine="680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CD5596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870B62" w:rsidRPr="00CD5596" w:rsidRDefault="00870B62" w:rsidP="00870B62">
      <w:pPr>
        <w:spacing w:after="0" w:line="240" w:lineRule="auto"/>
        <w:ind w:firstLine="680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CD5596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Secretaria de Pleno</w:t>
      </w:r>
    </w:p>
    <w:p w:rsidR="008024C9" w:rsidRPr="00CD5596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CD5596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E34E8F" w:rsidRDefault="00E34E8F" w:rsidP="00906B75">
      <w:pPr>
        <w:spacing w:after="0" w:line="360" w:lineRule="auto"/>
        <w:ind w:firstLine="709"/>
        <w:jc w:val="both"/>
        <w:rPr>
          <w:rFonts w:ascii="Arial" w:eastAsia="Batang" w:hAnsi="Arial" w:cs="Arial"/>
          <w:color w:val="4BACC6" w:themeColor="accent5"/>
          <w:sz w:val="12"/>
          <w:szCs w:val="12"/>
        </w:rPr>
      </w:pPr>
      <w:proofErr w:type="spellStart"/>
      <w:r>
        <w:rPr>
          <w:rFonts w:ascii="Arial" w:eastAsia="Batang" w:hAnsi="Arial" w:cs="Arial"/>
          <w:color w:val="4BACC6" w:themeColor="accent5"/>
          <w:sz w:val="12"/>
          <w:szCs w:val="12"/>
        </w:rPr>
        <w:t>jlV.R</w:t>
      </w:r>
      <w:proofErr w:type="spellEnd"/>
    </w:p>
    <w:p w:rsidR="004F5CDC" w:rsidRPr="00CD5596" w:rsidRDefault="004F5CDC" w:rsidP="00906B75">
      <w:pPr>
        <w:spacing w:after="0" w:line="360" w:lineRule="auto"/>
        <w:ind w:firstLine="709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</w:p>
    <w:p w:rsidR="004F5CDC" w:rsidRPr="00CD5596" w:rsidRDefault="004F5CDC" w:rsidP="00906B75">
      <w:pPr>
        <w:spacing w:after="0" w:line="360" w:lineRule="auto"/>
        <w:ind w:firstLine="709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</w:p>
    <w:bookmarkEnd w:id="0"/>
    <w:p w:rsidR="00C257BC" w:rsidRPr="00CD5596" w:rsidRDefault="00C257BC" w:rsidP="00FF56CF">
      <w:pPr>
        <w:spacing w:after="0" w:line="360" w:lineRule="auto"/>
        <w:ind w:firstLine="709"/>
        <w:rPr>
          <w:rFonts w:ascii="Arial" w:hAnsi="Arial" w:cs="Arial"/>
          <w:color w:val="4BACC6" w:themeColor="accent5"/>
          <w:sz w:val="24"/>
          <w:szCs w:val="24"/>
        </w:rPr>
      </w:pPr>
    </w:p>
    <w:sectPr w:rsidR="00C257BC" w:rsidRPr="00CD5596" w:rsidSect="00FF56CF">
      <w:headerReference w:type="default" r:id="rId8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5CFE" w:rsidRDefault="000A5CFE" w:rsidP="00A04BCB">
      <w:pPr>
        <w:spacing w:after="0" w:line="240" w:lineRule="auto"/>
      </w:pPr>
      <w:r>
        <w:separator/>
      </w:r>
    </w:p>
  </w:endnote>
  <w:endnote w:type="continuationSeparator" w:id="0">
    <w:p w:rsidR="000A5CFE" w:rsidRDefault="000A5CFE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5CFE" w:rsidRDefault="000A5CFE" w:rsidP="00A04BCB">
      <w:pPr>
        <w:spacing w:after="0" w:line="240" w:lineRule="auto"/>
      </w:pPr>
      <w:r>
        <w:separator/>
      </w:r>
    </w:p>
  </w:footnote>
  <w:footnote w:type="continuationSeparator" w:id="0">
    <w:p w:rsidR="000A5CFE" w:rsidRDefault="000A5CFE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292D27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37765C">
      <w:rPr>
        <w:rFonts w:ascii="Arial" w:hAnsi="Arial" w:cs="Arial"/>
        <w:b/>
      </w:rPr>
      <w:t>175</w:t>
    </w:r>
    <w:r w:rsidR="006C19F0">
      <w:rPr>
        <w:rFonts w:ascii="Arial" w:hAnsi="Arial" w:cs="Arial"/>
        <w:b/>
      </w:rPr>
      <w:t>/201</w:t>
    </w:r>
    <w:r w:rsidR="0037765C">
      <w:rPr>
        <w:rFonts w:ascii="Arial" w:hAnsi="Arial" w:cs="Arial"/>
        <w:b/>
      </w:rPr>
      <w:t>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E15E88">
      <w:rPr>
        <w:rFonts w:ascii="Arial" w:hAnsi="Arial" w:cs="Arial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4B3A31B6"/>
    <w:multiLevelType w:val="hybridMultilevel"/>
    <w:tmpl w:val="A62A1022"/>
    <w:lvl w:ilvl="0" w:tplc="280A8450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2"/>
  </w:num>
  <w:num w:numId="5">
    <w:abstractNumId w:val="9"/>
  </w:num>
  <w:num w:numId="6">
    <w:abstractNumId w:val="7"/>
  </w:num>
  <w:num w:numId="7">
    <w:abstractNumId w:val="1"/>
  </w:num>
  <w:num w:numId="8">
    <w:abstractNumId w:val="10"/>
  </w:num>
  <w:num w:numId="9">
    <w:abstractNumId w:val="4"/>
  </w:num>
  <w:num w:numId="10">
    <w:abstractNumId w:val="0"/>
  </w:num>
  <w:num w:numId="11">
    <w:abstractNumId w:val="6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CB"/>
    <w:rsid w:val="00001AD9"/>
    <w:rsid w:val="00022AD6"/>
    <w:rsid w:val="0003028A"/>
    <w:rsid w:val="00080247"/>
    <w:rsid w:val="00090FF9"/>
    <w:rsid w:val="000A4472"/>
    <w:rsid w:val="000A4C73"/>
    <w:rsid w:val="000A4F5D"/>
    <w:rsid w:val="000A5CFE"/>
    <w:rsid w:val="000B62C2"/>
    <w:rsid w:val="000B7F7D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578F2"/>
    <w:rsid w:val="00162EC6"/>
    <w:rsid w:val="00184E79"/>
    <w:rsid w:val="001A14C5"/>
    <w:rsid w:val="001A3205"/>
    <w:rsid w:val="001B2AEF"/>
    <w:rsid w:val="001C0739"/>
    <w:rsid w:val="001C5951"/>
    <w:rsid w:val="001D0198"/>
    <w:rsid w:val="001D03CA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414D8"/>
    <w:rsid w:val="0024310C"/>
    <w:rsid w:val="002526F3"/>
    <w:rsid w:val="00256F5C"/>
    <w:rsid w:val="00260481"/>
    <w:rsid w:val="00264CBC"/>
    <w:rsid w:val="00266ADC"/>
    <w:rsid w:val="002778EA"/>
    <w:rsid w:val="00284F30"/>
    <w:rsid w:val="00292D27"/>
    <w:rsid w:val="002A288D"/>
    <w:rsid w:val="002A6A30"/>
    <w:rsid w:val="002B40C2"/>
    <w:rsid w:val="002C38D0"/>
    <w:rsid w:val="002D0070"/>
    <w:rsid w:val="002D371A"/>
    <w:rsid w:val="002E4736"/>
    <w:rsid w:val="002F30EF"/>
    <w:rsid w:val="003032F5"/>
    <w:rsid w:val="00331B9E"/>
    <w:rsid w:val="003332F1"/>
    <w:rsid w:val="00344599"/>
    <w:rsid w:val="00352A7B"/>
    <w:rsid w:val="00360ABE"/>
    <w:rsid w:val="0037061E"/>
    <w:rsid w:val="00372881"/>
    <w:rsid w:val="0037765C"/>
    <w:rsid w:val="0038176B"/>
    <w:rsid w:val="00381A32"/>
    <w:rsid w:val="00383735"/>
    <w:rsid w:val="0038592D"/>
    <w:rsid w:val="003A0A70"/>
    <w:rsid w:val="003E3238"/>
    <w:rsid w:val="003E7E29"/>
    <w:rsid w:val="00402BE9"/>
    <w:rsid w:val="00404705"/>
    <w:rsid w:val="0041021C"/>
    <w:rsid w:val="00416457"/>
    <w:rsid w:val="004302FC"/>
    <w:rsid w:val="0044226A"/>
    <w:rsid w:val="004528ED"/>
    <w:rsid w:val="00453A8D"/>
    <w:rsid w:val="004659BD"/>
    <w:rsid w:val="00472502"/>
    <w:rsid w:val="0047371E"/>
    <w:rsid w:val="004739C4"/>
    <w:rsid w:val="00485806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03801"/>
    <w:rsid w:val="00515C6F"/>
    <w:rsid w:val="0054206B"/>
    <w:rsid w:val="00552902"/>
    <w:rsid w:val="0055402B"/>
    <w:rsid w:val="00555BEA"/>
    <w:rsid w:val="00557692"/>
    <w:rsid w:val="00570D95"/>
    <w:rsid w:val="00580B07"/>
    <w:rsid w:val="005939E8"/>
    <w:rsid w:val="005A2395"/>
    <w:rsid w:val="005D2986"/>
    <w:rsid w:val="005D7E54"/>
    <w:rsid w:val="005E15B2"/>
    <w:rsid w:val="00605A77"/>
    <w:rsid w:val="00606D6E"/>
    <w:rsid w:val="0061044A"/>
    <w:rsid w:val="00615017"/>
    <w:rsid w:val="00615324"/>
    <w:rsid w:val="00624699"/>
    <w:rsid w:val="00625D1B"/>
    <w:rsid w:val="00661411"/>
    <w:rsid w:val="006653FC"/>
    <w:rsid w:val="006939D8"/>
    <w:rsid w:val="00695310"/>
    <w:rsid w:val="006A4610"/>
    <w:rsid w:val="006B20C1"/>
    <w:rsid w:val="006B6741"/>
    <w:rsid w:val="006C19F0"/>
    <w:rsid w:val="006C78BB"/>
    <w:rsid w:val="006D050F"/>
    <w:rsid w:val="006D3BF1"/>
    <w:rsid w:val="006D4FCA"/>
    <w:rsid w:val="006E2236"/>
    <w:rsid w:val="006E478E"/>
    <w:rsid w:val="006F5A3A"/>
    <w:rsid w:val="00702152"/>
    <w:rsid w:val="007121D0"/>
    <w:rsid w:val="00721663"/>
    <w:rsid w:val="00744113"/>
    <w:rsid w:val="007558D7"/>
    <w:rsid w:val="00763E45"/>
    <w:rsid w:val="00772104"/>
    <w:rsid w:val="00774BC8"/>
    <w:rsid w:val="00780A83"/>
    <w:rsid w:val="007A68AD"/>
    <w:rsid w:val="007A777C"/>
    <w:rsid w:val="007B1813"/>
    <w:rsid w:val="007B30A9"/>
    <w:rsid w:val="007C70EC"/>
    <w:rsid w:val="007E7A46"/>
    <w:rsid w:val="007F23DE"/>
    <w:rsid w:val="008024C9"/>
    <w:rsid w:val="0082057A"/>
    <w:rsid w:val="008334F5"/>
    <w:rsid w:val="00852028"/>
    <w:rsid w:val="0085470E"/>
    <w:rsid w:val="00856E0F"/>
    <w:rsid w:val="00870B62"/>
    <w:rsid w:val="00874C83"/>
    <w:rsid w:val="0088125B"/>
    <w:rsid w:val="00897B0C"/>
    <w:rsid w:val="008A6B41"/>
    <w:rsid w:val="008B15BA"/>
    <w:rsid w:val="008D0A3C"/>
    <w:rsid w:val="008F2492"/>
    <w:rsid w:val="008F388A"/>
    <w:rsid w:val="008F6149"/>
    <w:rsid w:val="009039C8"/>
    <w:rsid w:val="00906B75"/>
    <w:rsid w:val="009124C4"/>
    <w:rsid w:val="0092572B"/>
    <w:rsid w:val="0094536F"/>
    <w:rsid w:val="0098511D"/>
    <w:rsid w:val="009A4282"/>
    <w:rsid w:val="009B23C6"/>
    <w:rsid w:val="009C4466"/>
    <w:rsid w:val="009D0019"/>
    <w:rsid w:val="009D2F9D"/>
    <w:rsid w:val="009D3602"/>
    <w:rsid w:val="009E456E"/>
    <w:rsid w:val="009F00AF"/>
    <w:rsid w:val="00A04BCB"/>
    <w:rsid w:val="00A050F1"/>
    <w:rsid w:val="00A06A4A"/>
    <w:rsid w:val="00A24594"/>
    <w:rsid w:val="00A61517"/>
    <w:rsid w:val="00A62F8D"/>
    <w:rsid w:val="00A630A6"/>
    <w:rsid w:val="00A7066C"/>
    <w:rsid w:val="00A75DA0"/>
    <w:rsid w:val="00A8436E"/>
    <w:rsid w:val="00A94565"/>
    <w:rsid w:val="00AA5027"/>
    <w:rsid w:val="00AC1F24"/>
    <w:rsid w:val="00AC335A"/>
    <w:rsid w:val="00AD691E"/>
    <w:rsid w:val="00AE0994"/>
    <w:rsid w:val="00AE702D"/>
    <w:rsid w:val="00B06769"/>
    <w:rsid w:val="00B10F22"/>
    <w:rsid w:val="00B11A7E"/>
    <w:rsid w:val="00B14364"/>
    <w:rsid w:val="00B4486D"/>
    <w:rsid w:val="00B4587C"/>
    <w:rsid w:val="00B54825"/>
    <w:rsid w:val="00B55F7C"/>
    <w:rsid w:val="00B63E0B"/>
    <w:rsid w:val="00B70237"/>
    <w:rsid w:val="00B71D1E"/>
    <w:rsid w:val="00B7246B"/>
    <w:rsid w:val="00B73016"/>
    <w:rsid w:val="00B84B92"/>
    <w:rsid w:val="00B977AB"/>
    <w:rsid w:val="00B97928"/>
    <w:rsid w:val="00BA2344"/>
    <w:rsid w:val="00BA55C4"/>
    <w:rsid w:val="00BB031B"/>
    <w:rsid w:val="00C0019F"/>
    <w:rsid w:val="00C003C0"/>
    <w:rsid w:val="00C23535"/>
    <w:rsid w:val="00C257BC"/>
    <w:rsid w:val="00C37176"/>
    <w:rsid w:val="00C42933"/>
    <w:rsid w:val="00C55492"/>
    <w:rsid w:val="00C66E3D"/>
    <w:rsid w:val="00C70A3F"/>
    <w:rsid w:val="00C73D19"/>
    <w:rsid w:val="00C7664A"/>
    <w:rsid w:val="00C96DC3"/>
    <w:rsid w:val="00CC0F39"/>
    <w:rsid w:val="00CC57CD"/>
    <w:rsid w:val="00CD5596"/>
    <w:rsid w:val="00CE6391"/>
    <w:rsid w:val="00D05A2B"/>
    <w:rsid w:val="00D13645"/>
    <w:rsid w:val="00D21862"/>
    <w:rsid w:val="00D7336A"/>
    <w:rsid w:val="00DB05F1"/>
    <w:rsid w:val="00DB5F2A"/>
    <w:rsid w:val="00DB65D6"/>
    <w:rsid w:val="00DC105A"/>
    <w:rsid w:val="00DC55EF"/>
    <w:rsid w:val="00DD1315"/>
    <w:rsid w:val="00DE25E6"/>
    <w:rsid w:val="00DE6AB5"/>
    <w:rsid w:val="00DF5E66"/>
    <w:rsid w:val="00DF74E7"/>
    <w:rsid w:val="00E0126B"/>
    <w:rsid w:val="00E11C82"/>
    <w:rsid w:val="00E15E88"/>
    <w:rsid w:val="00E34E8F"/>
    <w:rsid w:val="00E43715"/>
    <w:rsid w:val="00E4433C"/>
    <w:rsid w:val="00E4590E"/>
    <w:rsid w:val="00E51C51"/>
    <w:rsid w:val="00E66DB6"/>
    <w:rsid w:val="00E828C8"/>
    <w:rsid w:val="00E94C22"/>
    <w:rsid w:val="00E95910"/>
    <w:rsid w:val="00EA3D66"/>
    <w:rsid w:val="00EB06E0"/>
    <w:rsid w:val="00EB3158"/>
    <w:rsid w:val="00EC4BDD"/>
    <w:rsid w:val="00ED7190"/>
    <w:rsid w:val="00EE1009"/>
    <w:rsid w:val="00EF7E73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6F51"/>
    <w:rsid w:val="00F85FDA"/>
    <w:rsid w:val="00F96385"/>
    <w:rsid w:val="00F96D81"/>
    <w:rsid w:val="00FC417C"/>
    <w:rsid w:val="00FD1AC6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B20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rsid w:val="00E11C82"/>
  </w:style>
  <w:style w:type="character" w:customStyle="1" w:styleId="Ttulo2Car">
    <w:name w:val="Título 2 Car"/>
    <w:basedOn w:val="Fuentedeprrafopredeter"/>
    <w:link w:val="Ttulo2"/>
    <w:uiPriority w:val="9"/>
    <w:rsid w:val="006B20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1C683-694D-442A-B5C3-9366CB28F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cegaip@outlook.com</cp:lastModifiedBy>
  <cp:revision>2</cp:revision>
  <cp:lastPrinted>2017-12-13T20:29:00Z</cp:lastPrinted>
  <dcterms:created xsi:type="dcterms:W3CDTF">2018-02-09T18:15:00Z</dcterms:created>
  <dcterms:modified xsi:type="dcterms:W3CDTF">2018-02-09T18:15:00Z</dcterms:modified>
</cp:coreProperties>
</file>